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«Кубанский государственный технологический университет»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Кафедра Государственного и муниципального управления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ОТЧЕТ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 прохождении ____производственной практики_______________-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(учебной, ознакомительной производственной, преддипломной практики)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Направление подготовки 380304 Государственное и муниципальное управление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Профиль подготовки «Муниципальное управление» Квалификация (степень) Бакалавр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 ___МФЦ____________________________________________________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(наименование органа местного самоуправления муниципального образования Краснодарского края, государственном, муниципальном учреждении)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Выполнил (а)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студент (ка)__3__курса _12-Э-ГУ5____группы _Власова Анастасия Владимировна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Руководитель практики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 органа местного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самоуправления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муниципального образования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Краснодарского края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(государственного, муниципального учреждения)________________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                                     </w:t>
        <w:tab/>
        <w:t xml:space="preserve">должность                      </w:t>
        <w:tab/>
        <w:t xml:space="preserve">И.О. Фамилия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Руководитель практики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 университета ______________________ _____________________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                                     </w:t>
        <w:tab/>
        <w:t xml:space="preserve">должность                      </w:t>
        <w:tab/>
        <w:t xml:space="preserve">И.О. Фамилия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Защита состоялась _____________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                                     </w:t>
        <w:tab/>
        <w:t xml:space="preserve">дата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Общая оценка за практику   _________________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Подписи членов комиссии    _________________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                                     </w:t>
        <w:tab/>
        <w:t xml:space="preserve">_________________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                                     </w:t>
        <w:tab/>
        <w:t xml:space="preserve">_________________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М.П.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center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Краснодар 2015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Содержание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Введение……………………………………………………………………………...2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1 Ознакомление и характеристика МКУ «МФЦ» г. Краснодар………………….3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1.1 Характеристика МКУ «МФЦ» г. Краснодар …………………………...3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</w:t>
        <w:tab/>
        <w:t xml:space="preserve">1.2 Особенности МКУ «МФЦ» , как социально-экономической системы..4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</w:t>
        <w:tab/>
        <w:t xml:space="preserve">1.3 Организационная структура МКУ «МФЦ» г. Краснодар……………...5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2 Характеристика рабочего места структурного подразделения МКУ «МФЦ»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г. Краснодар……………………………………………………………………….9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3 Информационное и техническое обеспечение МКУ «МФЦ» г. Краснодар….11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4  SWOT-анализ МКУ «МФЦ» г. Краснодар……………………………………..13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5 Паспорт государственной программы Краснодарского края «Социальная    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поддержка граждан»……………………………………………………………...15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6 Индивидуальное задание…………………………………………………….......18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Выводы и предложения……………………………………………………………19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Список использованной литературы……………………………………………...20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Приложение А - Паспорт программы Краснодарского края «Социальная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</w:t>
        <w:tab/>
        <w:t xml:space="preserve"> </w:t>
        <w:tab/>
        <w:t xml:space="preserve">       </w:t>
        <w:tab/>
        <w:t xml:space="preserve">поддержка граждан»……………………………........................22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Введение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 период с 29 июня по 13 июля 2015 г. мной была пройдена производственная практика в МКУ «МФЦ» г.Краснодар.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Целью практики является закрепление полученных знаний в области государственного и муниципального управления, получение практических навыков, формирование навыков самостоятельного поиска, сбора, систематизации и обработки организационно-технологической, управленческой   информации   с   целью   разработки   и обоснования мероприятий по совершенствованию организации труда, производства и управления. Практика направлена на закрепление, расширение, углубление и систематизацию знаний по дисциплинам, отражающих специфику направления подготовки «Государственное и муниципальное управление».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Задачи практики: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закрепление теоретических знаний, полученных в процессе изучения базовых дисциплин;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получение практических навыков применения методов сбора и обработки информации;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изучить сферы деятельности учреждения и ознакомиться с перечнем оказываемых услуг населению;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ознакомиться с производственной и организационной структурой предприятия;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ознакомиться с используемыми методами подготовки и обоснования управленческих решений, организации контроля за их выполнением;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овладение методами государственного и муниципального управления.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</w:t>
        <w:tab/>
        <w:t xml:space="preserve">Объектом прохождения практики является отдел по работе с гражданами и организациями «Прикубанский».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</w:t>
        <w:tab/>
        <w:t xml:space="preserve">Предметом являются отношения, возникающие в процессе деятельности отдела.       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6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Ознакомление и характеристика МКУ «МФЦ» г. Краснодар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6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Характеристика МКУ «МФЦ» г. Краснодар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Arial" w:cs="Arial" w:eastAsia="Arial" w:hAnsi="Arial"/>
          <w:color w:val="2c2c2c"/>
          <w:rtl w:val="0"/>
        </w:rPr>
        <w:t xml:space="preserve"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услуг», именуемое в   дальнейшем «Казённое учреждение», создано в соответствии с решением городской Думы Краснодара от 28.01.2010 № 69 п. 10 «О согласовании создания муниципального учреждения «Краснодарский городской многофункциональный центр по предоставлению государственных и муниципальных услуг», постановлением администрации муниципального образования город Краснодар от 01.02.2010 № 406 «О создании муниципального учреждения «Краснодарский городской многофункциональный центр по предоставлению государственных и муниципальных услуг», постановлением администрации муниципального образования город Краснодар от 17.12.2010 № 10306 «Об утверждении перечня муниципальных казённых учреждений муниципального образования город Краснодар, создаваемых путём изменения типа  муниципальных бюджетных учреждений муниципального образования город Краснодар»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Arial" w:cs="Arial" w:eastAsia="Arial" w:hAnsi="Arial"/>
          <w:color w:val="2c2c2c"/>
          <w:rtl w:val="0"/>
        </w:rPr>
        <w:t xml:space="preserve">В соответствии с Федеральным законом от 27 июля 2010г. №210-ФЗ «Об организации предоставления государственных и муниципальных услуг» многофункциональный центр предоставления государственных и муниципальных услуг представляет собой организацию, созданную в организационно-правовой форме государственного или муниципального учреждения, и уполномоченную на организацию предоставления государственных и муниципальных услуг, в том числе в электронной форме, по принципу «одного окна». Данный принцип предусматривает предоставление государственных и муниципальных услуг после однократного обращения заявителя с соответствующим запросом.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Целями деятельности МКУ «МФЦ» являются: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1) обеспечение быстрого, удобного и экономически эффективного процесса оказания государственных и муниципальных услуг (далее – услуги) физическим и юридическим лицам за счёт реализации принципа «одного окна»;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2) межуровневое и межведомственное взаимодействие с органами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местного самоуправления, органами государственной власти, государственными и муниципальными предприятиями, учреждениями и другими организациями, участвующими в предоставлении (предоставляющими) услуг;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3) повышение удовлетворённости получателей услуг их качеством;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</w:t>
        <w:tab/>
        <w:t xml:space="preserve">4) повышение информированности физических и юридических лиц о порядке, способах и условиях получения услуг;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</w:t>
        <w:tab/>
        <w:t xml:space="preserve">5) снижение количества взаимодействий физических и юридических лиц с должностными лицами органов государственной власти, органов местного самоуправления при получении услуг.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Развитие сети МФЦ является одной из приоритетных задач при построении современного государства, совершенствовании системы государственного управления. Реализация данных мероприятий способствует сокращению сроков предоставления услуг, снижению очередей и повышения уровня удовлетворенности граждан работой государственной власти.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6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Особенности МКУ «МФЦ», как социально-экономической системы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При оказании муниципальных услуг МФЦ взаимодействует с отраслевыми (функциональными) и территориальными органами администрации муниципального образования город Краснодар, муниципальными казёнными, бюджетными и автономными учреждениями муниципального образования город Краснодар.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При оказании государственных услуг МФЦ взаимодействует с федеральными органами исполнительной власти, органами государственных внебюджетных фондов, исполнительными органами государственной власти Краснодарского края.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При оказании услуг, которые являются необходимыми и обязательными для предоставления государственных и муниципальных услуг, а также общественно значимых услуг, МФЦ взаимодействует с физическими и юридическими лицами, предоставляющими данные услуги.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Процедура взаимодействия с данными органами и физическими и юридическими лицами определяется в соответствии с действующим законодательством.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 МФЦ предоставляются только те государственные и муниципальные услуги, для которых утверждены соответствующие административные регламенты предоставления государственных и муниципальных услуг. В состав предоставляемых государственных и муниципальных услуг входит: жилищные вопросы, земельные участки, капитальное строительство, образование, пенсии, семья и детство, смена места жительства, социальная поддержка населения, справки, выписки, архивные документы, субсидии, транспорт, трудоустройство и прочие.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6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Организационная структура МКУ «МФЦ» г. Краснодар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Директор МУ «МФЦ» является непосредственным руководителем, организует и несет полную ответственность за результаты работы учреждения, утверждает штатное расписание, обеспечивает рациональное использование имущества, заключает договоры, издает приказы и осуществляет контроль за исполнением работниками своих должностных обязанностей.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Заместитель директора организовывает работу и эффективное взаимодействие сотрудников, организовывает производственно-хозяйственную деятельность, во время отсутствия директора выполняет его обязанности.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Отделы по работе с гражданами и организациями «Западный», «Карасунский», «Прикубанский» и «Центральный» организуют и осуществляют работу по приему документов, выдачи справок, иной необходимой информации, обеспечивают информирование и консультирование заявителей, организуют и осуществляют взаимодействие с гражданами и организациями, организуют по необходимости заявителей сотрудников органов местного самоуправления, иных муниципальных учреждений. Руководство деятельностью отделов осуществляют начальники отделов, которые непосредственно подчинены директору учреждения.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Отдел правой и кадровой работы занимается проведений правовой экспертизы, представляет интересы учреждения в государственных органах и других организациях, формирует кадровый состав, ведет трудовые книжки и личные дела сотрудников и осуществляет иные функции в пределах своих полномочий. Руководство осуществляет начальник отдела, который непосредственно подчиняется директору учреждения.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Отдел контроля качества предоставления государственных и муниципальных услуг занимается проведением служебных проверок, систематизирует, анализирует и разрабатывает рекомендации по улучшению качества обслуживания заявителей, сокращению сроков предоставления услуг и осуществляет иные функции в пределах своих полномочий. Руководство осуществляет начальник отдела, который непосредственно подчиняется директору учреждения.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Отдел учета и отчетности ведет бухгалтерский учет финансово-хозяйственной деятельности, обеспечивает исполнение смет доходов и расходов, организует ведение бюджетного учета, начисляет заработную плату, организует расчеты с контрагентами, составляет и предоставляет в установленные сроки бухгалтерскую и статистическую отчетность в государственные и налоговые органы и осуществляет иные функции в пределах своих полномочий. Руководство осуществляет начальник отдела, который непосредственно подчиняется директору учреждения.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Отделы информационного обеспечения и материально-технического снабжения организуют работу по снабжению учреждения необходимыми информационными и материально-техническими ресурсами, осуществляют организацию работ по поддержанию работоспособности, сохранности и безопасности ресурсов и оборудования, осуществляют контроль и учет оборудования, мелкий ремонт и эксплуатацию, анализируют потребность учреждения в технике и оборудовании, составляют сводные заявки на приобретение оргтехники и осуществляют иные функции в пределах своих полномочий. Руководство осуществляют начальники отдела, которые непосредственно подчиняется директору учреждения.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Отдел обработки телефонных вызовов населению осуществляет прием телефонных вызовов населения, ведет их учет и обработку, консультирует и дает справочную информацию заявителям по телефону и осуществляет иные функции в пределах своих полномочий. Руководство осуществляет начальник отдела, который непосредственно подчиняется директору учреждения.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6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Характеристика рабочего места в структурном подразделении МКУ «МФЦ» г. Краснодар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Отдел по работе с гражданами и организациями «Прикубанский» является структурным подразделением МКУ «МФЦ». Он подчиняется директору учреждения. В своей деятельности отдел руководствуется Конституцией РФ, действующим федеральным и краевым законодательством, муниципальными правовыми актами МО г. Краснодар, Положением об Учреждении, а так же положением об отделе по работе с гражданами и организациями «Прикубанский».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Основными задачами отдела являются: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1) обеспечение комфортных условий для получения муниципальных услуг;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2) организация деятельности по полному информированию заявителей по вопросам предоставления муниципальных услуг;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3) отработка механизмов межведомственного обмена информацией посредством внедрения информационно-коммуникационных технологий;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4) повышение качества предоставления муниципальных услуг;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5) упрощение порядка получения заявителями услуг, в предоставлении которых совместно участвуют органы власти разных уровней;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6) организация информационного обмена данными между федеральными органами исполнительной власти, органами исполнительной власти Краснодарского края, органами местного самоуправления, организациями, участвующими в предоставлении муниципальных услуг.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Функции отдела: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1) организация и осуществление работы по приему документов, необходимых для получения муниципальной услуги, по первичной обработке, по выдаче заявителю результата предоставления муниципальной услуги;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2) обеспечение информирования и консультирования заявителей по вопросам предоставления услуг;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3) организация и осуществление взаимодействия с заявителями;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4) организация доставки необходимых документов из отдела в соответствующее муниципальное учреждение, органы местного самоуправления;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5) организация и обеспечение предоставления в здании, где размещается отдел, дополнительных услуг: нотариат, банковские услуги по уплате пошлин и сборов, улучшению их качества;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6) систематизация, анализ и разработка рекомендаций по улучшению качества обслуживания заявителей, по сокращению сроков предоставления муниципальных услуг, улучшению их качества.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3 Информационное и техническое обеспечение МКУ «МФЦ»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  г. Краснодар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Здание МФЦ оборудуется информационной табличкой , содержащей полное наименование многофункционального центра, а также информацию о режиме его работы.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Для организации взаимодействия с заявителями помещения МФЦ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делится на следующие функциональные секторы (зоны):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</w:t>
        <w:tab/>
        <w:t xml:space="preserve">1) сектор информирования и ожидания;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2) сектор приёма заявителей.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Сектор информирования и ожидания включает в себя: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 перечень государственных и муниципальных услуг, предоставление которых организовано в многофункциональном центре; сроки предоставления государственных и муниципальных услуг, предоставление которых организовано в МФЦ;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размеры государственной пошлины;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центров. МФЦ своевременно обеспечивает актуализацию документов, представленных на информационных стендах.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 МФЦ организован один канал связи, который обеспечивает функционирование электронной системы управления очередью, отдельной телефонной линии, телефона call-центра, а так же автоматизированной информационной системы МФЦ.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 здании МФЦ имеется хорошо оснащенная техническая база, дающая возможность автоматизировать рабочие места и увеличивать производительность работы. Также имеются сервера, локальная сеть и выход в Интернет. Для защиты от сбоев и потери ценной информации для каждого отдела установлен сервер, на котором содержится вся необходимая информация. Большинство программ использующихся в организации работают на основе запросов к базе данных, хранящейся на сервере.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4  SWOT-анализ МКУ «МФЦ» г. Краснодар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Сильные стороны: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быстрота получения государственных и муниципальных услуг;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сокращение сроков принятия решения за счет территориального объединения органов власти;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увеличение скорости обмена информацией;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улучшается информированность граждан об услугах ( стенды, брошюры, через интернет сайт);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контролируемость процесса предоставления государственных и муниципальных услуг;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профессионализм работников отделов;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применение новых технологий;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прием документов граждан в удобное для них время, возможность записаться на прием через интернет.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Слабые стороны: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низкая заработная плата;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затруднения при организации приема документов операционистами МФЦ по принципу единого окна, связанные с нормативными требованиями предоставления документов заявителями и получения их непосредственно в государственном органе;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при внедрении в работе МФЦ отдельных регламентов предоставления услуг увеличивается количество документов, которые необходимо оформить специалистами и сроки предоставления услуг не сокращаются;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требуется приобретение и установка дополнительной компьютерной техники, которые должны упростить и сократить процедуры предоставления услуг населению.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Возможности: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отсутствие конкурентов;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в Краснодарском крае складывается более благоприятный инвестиционный климат, чем в целом в РФ, тем самым увеличатся поступления денежных средств в бюджет;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увеличение эффективности и скорости работы сотрудников за счет нового программного обеспечения и приобретения новой компьютерной техники;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возможность привлечения квалифицированных специалистов;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Угрозы: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ограниченный бюджет;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часто меняющееся законодательство РФ;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 увеличение загруженности сотрудников за счет большого документооборота, что может привести к большим очередям и снизить удовлетворенность граждан.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Стратегии вида СИВ: разработка системы постоянного обучения сотрудников, стратегия привлечения квалифицированных специалистов.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Стратегии вида СЛВ: инвестиционная стратегия, стратегия создания нового ПО, стратегия внедрения новых информационных технологий.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Стратегии вида СИУ: увеличение количества сотрудников, стратегия информационного взаимодействия между подразделениями.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Стратегии вида СЛУ: уменьшение перечня предоставляемых государственных и муниципальных услуг, ликвидация учреждения.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5 Паспорт государственной программы Краснодарского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  края «Социальная поддержка граждан»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Паспорт программы Краснодарского края «Социальная  поддержка граждан» ( в сокращенном виде) (Приложение А).                         </w:t>
        <w:tab/>
        <w:t xml:space="preserve">                           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Основные задачи программы: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осуществление ежемесячных денежных выплат отдельным категориям граждан;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предоставление гражданам субсидий на оплату жилого помещения и коммунальных услуг и льгот на оплату жилого помещения и коммунальных услуг в денежной форме;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проведение мероприятий органами социальной защиты населения по установлению статуса гражданам;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оптимизация сети и развитие материально-технической базы учреждений, обслуживающих пожилых людей и инвалидов в различных условиях социальной сферы;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формирование у населения края позитивного отношения к старости и пожилым людям как уважаемым и активным членам общества;   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повышение эффективности системы обслуживания;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укрепление материально-технической базы учреждений.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Сроки реализации государственной программы : 2014 - 2018 годы.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 связи с тем, что основная часть мероприятий государственной программы связана с последовательной реализацией социальных обязательств Российской Федерации и Краснодарского края по предоставлению мер социальной поддержки гражданам, выделение этапов реализации государственной программы не предусмотрено.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Государственная программа включает 4 подпрограммы: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1) "Развитие мер социальной поддержки отдельных категорий граждан";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2) "Модернизация и развитие социального обслуживания населения";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3) "Совершенствование социальной поддержки семьи и детей";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4) "Государственная поддержка социально ориентированных некоммерческих организаций в Краснодарском крае".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Ресурсное обеспечение реализации программы: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Общий объем бюджетных ассигнований, необходимых для реализации мероприятий государственной программы, составляет 172 386 816,9 тыс. рублей.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Объем средств краевого бюджета, направляемых на финансирование мероприятий подпрограммы государственной программы, подлежит ежегодному уточнению при принятии закона Краснодарского края о краевом бюджете на очередной финансовый год и на плановый период.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Механизм реализации государственной программы базируется на принципах четкого разграничения полномочий и ответственности всех участников государственной программы.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Реализация государственной программы осуществляется с участием исполнительных органов государственной власти Краснодарского края - государственных заказчиков, ответственных за выполнение мероприятий, исполнителей мероприятий подпрограмм государственной программы.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Координатором государственной программы является министерство социального развития и семейной политики Краснодарского края (далее - координатор государственной программы).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Оценка эффективности реализации государственной программы осуществляется в соответствии с методикой.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Методика оценки эффективности реализации государственной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Контроль за ходом выполнения государственной программы осуществляют администрация Краснодарского края и Законодательное Собрание Краснодарского края.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6 Индивидуальное задание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Целью прохождения производственной практики явилось закрепление и углубление теоретических знаний, их применение, умение использования законодательства в конкретных случаях, формирование навыков самостоятельного поиска, сбора и обработки управленческой   информации,   с   целью   разработки   и обоснования мероприятий по совершенствованию организации труда. Мною была пройдена производственная практика в МКУ «МФЦ» г.Краснодар в отделе по работе с гражданами и организациями «Прикубанский» . Исходя из задач и функций, определенных Положением об Отделе и должностного регламента, я выполняла следующие работы: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ознакомилась со структурой отдела, положением об отделе, должностными инструкциями;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помощь в контроле за правильностью оформления дел, подлежащих передаче в архив;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помощь в принятии документов, необходимых для получения муниципальной услуги;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помощь в первичной обработке документов граждан, необходимых для получения услуги;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– помощь в поиске необходимых документов в архиве;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</w:t>
        <w:tab/>
        <w:t xml:space="preserve">– выполняла отдельные поручения начальника отдела в рамках задач, стоящих перед отделом.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Выводы и предложения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 ходе прохождения производственной практики, я ознакомилась с организационной структурой учреждения, изучила особенности организационно-правовой формы, ознакомилась с основными функциями и полномочиями структурных подразделений. Я собрала информацию: об организационной структуре учреждения и организации конкретного подразделения.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В результате, я подготовилась к осознанному и углубленному изучению организационно-экономических дисциплин, получила практические навыки в области организационно-управленческой, аналитической деятельности, навыки по сбору, обработке, систематизации управленческой информации, а также использования информационных ресурсов и технологий в ходе деятельности организации. Закрепил, расширил, углубил и систематизировал знания по дисциплинам, отражающим специфику направления подготовки «Государственное и муниципальное управление».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Проведя SWOT-анализ МФЦ, для улучшения работы я предложила 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1) рассмотреть возможности увеличения заработной платы сотрудникам учреждения;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2) привлечение квалифицированных специалистов;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3) приобретение и установка дополнительной компьютерной техники.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Я считаю, если будут выполнены предложенные мною методы по улучшению работы в МФЦ, то работники будут выполнять свои обязанности быстро и качественно, так же уменьшится время ожидания приема посетителей, а новая компьютерная техника повысит производительность труда сотрудников.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color w:val="2c2c2c"/>
          <w:rtl w:val="0"/>
        </w:rPr>
        <w:t xml:space="preserve">Федеральный закон от 27 июля 2010г. №210-ФЗ «Об организации предоставления государственных и муниципальных услуг».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Постановление главы администрации Краснодарского края от 11 октября 2013 г. N 1173 "Об утверждении государственной программы Краснодарского края "Социальная поддержка граждан".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color w:val="2c2c2c"/>
          <w:rtl w:val="0"/>
        </w:rPr>
        <w:t xml:space="preserve">Решение городской Думы Краснодара от 28.01.2010 № 69 п. 10 «О согласовании создания муниципального учреждения «Краснодарский городской многофункциональный центр по предоставлению государственных и муниципальных услуг».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color w:val="2c2c2c"/>
          <w:rtl w:val="0"/>
        </w:rPr>
        <w:t xml:space="preserve">Постановление администрации муниципального образования город Краснодар от 01.02.2010 № 406 «О создании муниципального учреждения «Краснодарский городской многофункциональный центр по предоставлению государственных и муниципальных услуг».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color w:val="2c2c2c"/>
          <w:rtl w:val="0"/>
        </w:rPr>
        <w:t xml:space="preserve">Постановлением администрации муниципального образования город Краснодар от 17.12.2010 № 10306 «Об утверждении перечня муниципальных казённых учреждений муниципального образования город Краснодар, создаваемых путём изменения типа  муниципальных бюджетных учреждений муниципального образования город Краснодар».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Краснодарский край. Статистический ежегодник. 2010: Стат. сб./Краснодарстат – Краснодар, 2011. 456 с.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Поляк, Г.Б. Территориальные финансы: учебник / Г.Б. Поляк. – М. : Издательско-торговая корпорация «Дашков и Ко», 2007. – 479 с.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Сорокина И.А. Инвестиции: учебное пособие/ И.А.Сорокина, Л.В.Сорокина. – 2-е изд., пересмотрен.- Краснодар: КубГАУ, 2010. 308 с.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Стратегия модернизации российской экономики/Под ред.В.М.Полтеровича. СпБ.: Алетейя, 2010. 424 с.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Устав муниципального казённого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Регламент муниципального казённого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Положение об отделе по работе с гражданами и организациями «Прикубанский».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Должостной регламент отдела по работе с гражданами и организациями «Прикубанский».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14.Положения об отделах МКУ «МФЦ».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76" w:lineRule="auto"/>
        <w:ind w:left="1180" w:hanging="360"/>
        <w:contextualSpacing w:val="1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2c2c2c"/>
          <w:u w:val="single"/>
          <w:rtl w:val="0"/>
        </w:rPr>
        <w:t xml:space="preserve">economy.krasnodar.ru</w:t>
      </w: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– Перечень государственных программ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Приложение 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Т а б л и ц а А.1 – Паспорт программы Краснодарского края «Социальная  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                    </w:t>
        <w:tab/>
        <w:t xml:space="preserve">поддержка граждан» ( в сокращенном виде)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color w:val="2c2c2c"/>
          <w:rtl w:val="0"/>
        </w:rPr>
        <w:t xml:space="preserve">                                                  </w:t>
      </w:r>
    </w:p>
    <w:tbl>
      <w:tblPr>
        <w:tblStyle w:val="Table1"/>
        <w:tblW w:w="9354.511811023622" w:type="dxa"/>
        <w:jc w:val="left"/>
        <w:tblInd w:w="100.0" w:type="pct"/>
        <w:tblLayout w:type="fixed"/>
        <w:tblLook w:val="0600"/>
      </w:tblPr>
      <w:tblGrid>
        <w:gridCol w:w="4823.929435649812"/>
        <w:gridCol w:w="4530.58237537381"/>
        <w:tblGridChange w:id="0">
          <w:tblGrid>
            <w:gridCol w:w="4823.929435649812"/>
            <w:gridCol w:w="4530.58237537381"/>
          </w:tblGrid>
        </w:tblGridChange>
      </w:tblGrid>
      <w:tr>
        <w:trPr>
          <w:trHeight w:val="1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Наименование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государственная программа Краснодарского края "Социальная поддержка граждан" (далее - государственная программа)</w:t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Координатор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министерство социального развития и семейной политики Краснодарского края</w:t>
            </w:r>
          </w:p>
        </w:tc>
      </w:tr>
      <w:tr>
        <w:trPr>
          <w:trHeight w:val="1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Координаторы подпрограмм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министерство социального развития и семейной политики Краснодарского края; управление по взаимодействию с религиозными и социально ориентированными некоммерческими организациями администрации Краснодарского края</w:t>
            </w:r>
          </w:p>
        </w:tc>
      </w:tr>
      <w:tr>
        <w:trPr>
          <w:trHeight w:val="2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Подпрограммы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развитие мер социальной поддержки отдельных категорий граждан;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модернизация и развитие социального обслуживания населения; совершенствование социальной поддержки семьи и детей; государственная поддержка социально ориентированных некоммерческих организаций в Краснодарском крае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Ведомственные целевые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не предусмотрены государственной программой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Продолжение приложения А</w:t>
      </w:r>
    </w:p>
    <w:tbl>
      <w:tblPr>
        <w:tblStyle w:val="Table2"/>
        <w:tblW w:w="9354.511811023624" w:type="dxa"/>
        <w:jc w:val="left"/>
        <w:tblInd w:w="100.0" w:type="pct"/>
        <w:tblLayout w:type="fixed"/>
        <w:tblLook w:val="0600"/>
      </w:tblPr>
      <w:tblGrid>
        <w:gridCol w:w="4851.867250914193"/>
        <w:gridCol w:w="4502.644560109429"/>
        <w:tblGridChange w:id="0">
          <w:tblGrid>
            <w:gridCol w:w="4851.867250914193"/>
            <w:gridCol w:w="4502.644560109429"/>
          </w:tblGrid>
        </w:tblGridChange>
      </w:tblGrid>
      <w:tr>
        <w:trPr>
          <w:trHeight w:val="2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Иные исполнители отдельных мероприятий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управления социальной защиты населения министерства;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социального развития и семейной политики Краснодарского края;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администрации Краснодарского края; органы местного самоуправления муниципальных образований в Краснодарском крае (по согласованию); государственные казенные, бюджетные и автономные учреждения Краснодарского края.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Цели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>
        <w:trPr>
          <w:trHeight w:val="3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Задачи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осуществление ежемесячных денежных выплат отдельным категориям граждан; предоставление гражданам субсидий на оплату жилого помещения и коммунальных услуг; оптимизация сети и развитие материально-технической базы учреждений, обслуживающих пожилых людей и инвалидов; создание условий для занятий физической культурой и спортом, социальным туризмом; повышение эффективности системы обслуживания создание благоприятных условий для государственной поддержки детей, находящихся в трудной жизненной ситуации.</w:t>
            </w:r>
          </w:p>
        </w:tc>
      </w:tr>
      <w:tr>
        <w:trPr>
          <w:trHeight w:val="1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Перечень целевых показателей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число граждан, получивших документы на право пользования мерами социальной поддержки;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число региональных льготников, получающих ежемесячную денежную выплату;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число получателей государственной социальной помощи в виде социального пособия;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76" w:lineRule="auto"/>
        <w:contextualSpacing w:val="0"/>
        <w:jc w:val="both"/>
        <w:rPr>
          <w:rFonts w:ascii="Trebuchet MS" w:cs="Trebuchet MS" w:eastAsia="Trebuchet MS" w:hAnsi="Trebuchet MS"/>
          <w:b w:val="1"/>
          <w:color w:val="2c2c2c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c2c2c"/>
          <w:rtl w:val="0"/>
        </w:rPr>
        <w:t xml:space="preserve">Продолжение приложения А</w:t>
      </w:r>
    </w:p>
    <w:tbl>
      <w:tblPr>
        <w:tblStyle w:val="Table3"/>
        <w:tblW w:w="9354.511811023622" w:type="dxa"/>
        <w:jc w:val="left"/>
        <w:tblInd w:w="100.0" w:type="pct"/>
        <w:tblLayout w:type="fixed"/>
        <w:tblLook w:val="0600"/>
      </w:tblPr>
      <w:tblGrid>
        <w:gridCol w:w="4871.9484209047705"/>
        <w:gridCol w:w="4482.563390118852"/>
        <w:tblGridChange w:id="0">
          <w:tblGrid>
            <w:gridCol w:w="4871.9484209047705"/>
            <w:gridCol w:w="4482.563390118852"/>
          </w:tblGrid>
        </w:tblGridChange>
      </w:tblGrid>
      <w:tr>
        <w:trPr>
          <w:trHeight w:val="3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c2c2c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число получателей субсидий на оплату жилого помещения и коммунальных услуг;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число граждан пожилого возраста, проживающих в приемных семьях;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число получивших социальные услуги в государственных учреждениях социального обслуживания семьи и детей;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доля граждан,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осуществляющих денежные пожертвования некоммерческим организациям на территории Краснодарского края</w:t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Этапы и сроки реализации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2014 - 2018 годы, государственная программа реализуется в один этап</w:t>
            </w:r>
          </w:p>
        </w:tc>
      </w:tr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Объемы бюджетных ассигнований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общий объем финансирования мероприятий государственной программы из средств федерального, краевого бюджетов и Пенсионного фонда Российской Федерации составляет 172 386 816,9 тыс. рублей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Контроль за выполнением государственной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76" w:lineRule="auto"/>
              <w:contextualSpacing w:val="0"/>
              <w:jc w:val="both"/>
              <w:rPr>
                <w:rFonts w:ascii="Trebuchet MS" w:cs="Trebuchet MS" w:eastAsia="Trebuchet MS" w:hAnsi="Trebuchet MS"/>
                <w:color w:val="2c2c2c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c2c2c"/>
                <w:rtl w:val="0"/>
              </w:rPr>
              <w:t xml:space="preserve">контроль за выполнением государственной программы осуществляют администрация Краснодарского края и Законодательное Собрание Краснодарского края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https://mfc-list.info - услуги МФЦ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2c2c2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2c2c2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2c2c2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rebuchet MS" w:cs="Trebuchet MS" w:eastAsia="Trebuchet MS" w:hAnsi="Trebuchet MS"/>
        <w:color w:val="2c2c2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rebuchet MS" w:cs="Trebuchet MS" w:eastAsia="Trebuchet MS" w:hAnsi="Trebuchet MS"/>
        <w:color w:val="2c2c2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2c2c2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2c2c2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