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Заявление.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Я, </w:t>
      </w:r>
      <w:r w:rsidDel="00000000" w:rsidR="00000000" w:rsidRPr="00000000">
        <w:rPr>
          <w:b w:val="1"/>
          <w:color w:val="045f20"/>
          <w:sz w:val="18"/>
          <w:szCs w:val="18"/>
          <w:rtl w:val="0"/>
        </w:rPr>
        <w:t xml:space="preserve">Иванов Иван Иванович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, проживаю по адресу: </w:t>
      </w:r>
      <w:r w:rsidDel="00000000" w:rsidR="00000000" w:rsidRPr="00000000">
        <w:rPr>
          <w:b w:val="1"/>
          <w:color w:val="005824"/>
          <w:sz w:val="18"/>
          <w:szCs w:val="18"/>
          <w:rtl w:val="0"/>
        </w:rPr>
        <w:t xml:space="preserve">111111, г. Новосибирск, ул. Ивановская, д.17, кв. 777 , в Дзержинском районе </w:t>
      </w:r>
      <w:r w:rsidDel="00000000" w:rsidR="00000000" w:rsidRPr="00000000">
        <w:rPr>
          <w:color w:val="005824"/>
          <w:sz w:val="18"/>
          <w:szCs w:val="18"/>
          <w:rtl w:val="0"/>
        </w:rPr>
        <w:t xml:space="preserve">города Новосибирска</w:t>
      </w:r>
      <w:r w:rsidDel="00000000" w:rsidR="00000000" w:rsidRPr="00000000">
        <w:rPr>
          <w:b w:val="1"/>
          <w:sz w:val="18"/>
          <w:szCs w:val="18"/>
          <w:rtl w:val="0"/>
        </w:rPr>
        <w:t xml:space="preserve">.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Согласно абз. 2 ч. 1 статьи 10 ФЗ «О воинской обязанности и военной службе», граждане обязаны состоять на воинском учете по месту жительства (граждане, прибывшие на место пребывания на срок более трех месяцев или проходящие альтернативную гражданскую службу, - по месту их пребывания) в военном комиссариате. 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Прошу совершить постановку меня на воинский учет. 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  <w:highlight w:val="white"/>
        </w:rPr>
      </w:pPr>
      <w:r w:rsidDel="00000000" w:rsidR="00000000" w:rsidRPr="00000000">
        <w:rPr>
          <w:color w:val="005824"/>
          <w:sz w:val="18"/>
          <w:szCs w:val="18"/>
          <w:rtl w:val="0"/>
        </w:rPr>
        <w:t xml:space="preserve">ДАТА ПОДПИСЬ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--------------------------------------------------------------------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